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Nr </w:t>
            </w:r>
            <w:bookmarkStart w:id="1" w:name="_GoBack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bookmarkStart w:id="2" w:name="_Hlk531699406"/>
            <w:r w:rsidR="00CD399C"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2"/>
            <w:r w:rsidR="00CD399C"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.18.2019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bookmarkEnd w:id="1"/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</w:t>
            </w:r>
            <w:r w:rsidR="000727B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cz. </w:t>
            </w:r>
            <w:r w:rsidR="00734C3B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F01FB9" w:rsidRPr="00F01FB9">
              <w:rPr>
                <w:rFonts w:asciiTheme="minorHAnsi" w:hAnsiTheme="minorHAnsi" w:cstheme="minorHAnsi"/>
                <w:sz w:val="20"/>
                <w:szCs w:val="20"/>
              </w:rPr>
              <w:t>usługę zapewnienia powierzchni reklamowych i publikacji w mediach elektronicznych.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Zamawiającym: .…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</w:t>
                  </w:r>
                  <w:proofErr w:type="gramStart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</w:t>
                  </w:r>
                  <w:proofErr w:type="gramEnd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6E721E" w:rsidRPr="00F01FB9" w:rsidTr="00B2691E">
              <w:tc>
                <w:tcPr>
                  <w:tcW w:w="763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01FB9" w:rsidRDefault="00F01FB9" w:rsidP="006E72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Pr="00F01FB9" w:rsidRDefault="00BE4142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</w:t>
                  </w:r>
                  <w:r w:rsidR="006E721E">
                    <w:rPr>
                      <w:rFonts w:cstheme="minorHAnsi"/>
                      <w:sz w:val="18"/>
                      <w:szCs w:val="18"/>
                    </w:rPr>
                    <w:t>aksymalna</w:t>
                  </w:r>
                  <w:r w:rsidRPr="00F01FB9">
                    <w:rPr>
                      <w:rFonts w:cstheme="minorHAnsi"/>
                      <w:sz w:val="18"/>
                      <w:szCs w:val="18"/>
                    </w:rPr>
                    <w:t xml:space="preserve"> liczba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6E721E" w:rsidRPr="00F01FB9" w:rsidRDefault="006E721E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6E721E" w:rsidRPr="00F01FB9" w:rsidRDefault="006E721E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24"/>
                    </w:rPr>
                  </w:pPr>
                  <w:r w:rsidRPr="00F01FB9"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734C3B" w:rsidP="00F01FB9">
                  <w:pPr>
                    <w:rPr>
                      <w:rFonts w:cstheme="minorHAnsi"/>
                      <w:sz w:val="18"/>
                    </w:rPr>
                  </w:pPr>
                  <w:r w:rsidRPr="00734C3B">
                    <w:rPr>
                      <w:rFonts w:cstheme="minorHAnsi"/>
                      <w:bCs/>
                      <w:sz w:val="18"/>
                    </w:rPr>
                    <w:t xml:space="preserve">Reklama </w:t>
                  </w:r>
                  <w:proofErr w:type="spellStart"/>
                  <w:r w:rsidRPr="00734C3B">
                    <w:rPr>
                      <w:rFonts w:cstheme="minorHAnsi"/>
                      <w:bCs/>
                      <w:sz w:val="18"/>
                    </w:rPr>
                    <w:t>banerowa</w:t>
                  </w:r>
                  <w:proofErr w:type="spellEnd"/>
                  <w:r w:rsidRPr="00734C3B">
                    <w:rPr>
                      <w:rFonts w:cstheme="minorHAnsi"/>
                      <w:bCs/>
                      <w:sz w:val="18"/>
                    </w:rPr>
                    <w:t xml:space="preserve"> na stronie głównej portalu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Pr="00F01FB9" w:rsidRDefault="00734C3B" w:rsidP="00F01FB9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8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</w:tr>
            <w:tr w:rsidR="00734C3B" w:rsidRPr="00521768" w:rsidTr="005D630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Pr="00F01FB9" w:rsidRDefault="00734C3B" w:rsidP="00F01FB9">
                  <w:pPr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2.</w:t>
                  </w:r>
                </w:p>
              </w:tc>
              <w:tc>
                <w:tcPr>
                  <w:tcW w:w="8079" w:type="dxa"/>
                  <w:gridSpan w:val="7"/>
                  <w:shd w:val="clear" w:color="auto" w:fill="BFBFBF" w:themeFill="background1" w:themeFillShade="BF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  <w:r w:rsidRPr="00734C3B">
                    <w:rPr>
                      <w:rFonts w:cstheme="minorHAnsi"/>
                    </w:rPr>
                    <w:t>Reklama i publikacje na stronie głównej działu o tematyce gospodarczo-biznesowej portalu, w tym:</w:t>
                  </w: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2.1.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>
                    <w:rPr>
                      <w:rFonts w:cstheme="minorHAnsi"/>
                      <w:bCs/>
                      <w:sz w:val="18"/>
                    </w:rPr>
                    <w:t xml:space="preserve">Tygodniowe kampanie </w:t>
                  </w:r>
                  <w:proofErr w:type="spellStart"/>
                  <w:r>
                    <w:rPr>
                      <w:rFonts w:cstheme="minorHAnsi"/>
                      <w:bCs/>
                      <w:sz w:val="18"/>
                    </w:rPr>
                    <w:t>banerowe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2.2.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 w:rsidRPr="00734C3B">
                    <w:rPr>
                      <w:rFonts w:cstheme="minorHAnsi"/>
                      <w:bCs/>
                      <w:sz w:val="18"/>
                    </w:rPr>
                    <w:t>Wywiad redakcyjny Pomorski Broker Eksportowy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2.3.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 w:rsidRPr="00734C3B">
                    <w:rPr>
                      <w:rFonts w:cstheme="minorHAnsi"/>
                      <w:bCs/>
                      <w:sz w:val="18"/>
                    </w:rPr>
                    <w:t>Wywiady redakcyjne Invest in Pomerania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2.4.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 w:rsidRPr="00734C3B">
                    <w:rPr>
                      <w:rFonts w:cstheme="minorHAnsi"/>
                      <w:bCs/>
                      <w:sz w:val="18"/>
                    </w:rPr>
                    <w:t>Artykuły wzbogacone zrealizowanym przez Wykonawcę materiałem filmowym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  <w:p w:rsidR="00734C3B" w:rsidRPr="00734C3B" w:rsidRDefault="00734C3B" w:rsidP="00734C3B">
                  <w:pPr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rPr>
                      <w:rFonts w:cstheme="minorHAnsi"/>
                    </w:rPr>
                  </w:pPr>
                </w:p>
                <w:p w:rsidR="00734C3B" w:rsidRPr="00734C3B" w:rsidRDefault="00734C3B" w:rsidP="00734C3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6C70FF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jc w:val="both"/>
                    <w:rPr>
                      <w:rFonts w:cstheme="minorHAnsi"/>
                      <w:b/>
                    </w:rPr>
                  </w:pPr>
                  <w:r w:rsidRPr="00734C3B">
                    <w:rPr>
                      <w:rFonts w:cstheme="minorHAnsi"/>
                      <w:b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(wypełnić, jeżeli </w:t>
            </w:r>
            <w:proofErr w:type="gramStart"/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dotyczy)*</w:t>
            </w:r>
            <w:proofErr w:type="gramEnd"/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Pr="00152BBA" w:rsidRDefault="004451C7" w:rsidP="00EC4286">
      <w:pPr>
        <w:rPr>
          <w:rFonts w:asciiTheme="minorHAnsi" w:hAnsiTheme="minorHAnsi" w:cstheme="minorHAnsi"/>
        </w:rPr>
      </w:pPr>
    </w:p>
    <w:sectPr w:rsidR="004451C7" w:rsidRPr="00152BBA" w:rsidSect="00A0345B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CE2" w:rsidRDefault="009B2CE2" w:rsidP="00D06878">
      <w:pPr>
        <w:spacing w:after="0" w:line="240" w:lineRule="auto"/>
      </w:pPr>
      <w:r>
        <w:separator/>
      </w:r>
    </w:p>
  </w:endnote>
  <w:endnote w:type="continuationSeparator" w:id="0">
    <w:p w:rsidR="009B2CE2" w:rsidRDefault="009B2CE2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Gothic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CE2" w:rsidRDefault="009B2CE2" w:rsidP="00D06878">
      <w:pPr>
        <w:spacing w:after="0" w:line="240" w:lineRule="auto"/>
      </w:pPr>
      <w:r>
        <w:separator/>
      </w:r>
    </w:p>
  </w:footnote>
  <w:footnote w:type="continuationSeparator" w:id="0">
    <w:p w:rsidR="009B2CE2" w:rsidRDefault="009B2CE2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727BC"/>
    <w:rsid w:val="00092BB6"/>
    <w:rsid w:val="000A4EF2"/>
    <w:rsid w:val="000C19BB"/>
    <w:rsid w:val="000D73C9"/>
    <w:rsid w:val="000E240B"/>
    <w:rsid w:val="00102085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11B2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42133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6E721E"/>
    <w:rsid w:val="007022F9"/>
    <w:rsid w:val="00702B2E"/>
    <w:rsid w:val="007041E6"/>
    <w:rsid w:val="00704D2A"/>
    <w:rsid w:val="00710C5A"/>
    <w:rsid w:val="00734C3B"/>
    <w:rsid w:val="007464BD"/>
    <w:rsid w:val="00774269"/>
    <w:rsid w:val="0079017F"/>
    <w:rsid w:val="007B599E"/>
    <w:rsid w:val="007C68FA"/>
    <w:rsid w:val="007D0CF1"/>
    <w:rsid w:val="007F31DB"/>
    <w:rsid w:val="00802506"/>
    <w:rsid w:val="0080711A"/>
    <w:rsid w:val="00827F2D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B2CE2"/>
    <w:rsid w:val="009D115B"/>
    <w:rsid w:val="009E3C0B"/>
    <w:rsid w:val="009F6419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BE4142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159C"/>
    <w:rsid w:val="00CD39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E2392D"/>
    <w:rsid w:val="00E42393"/>
    <w:rsid w:val="00E537AF"/>
    <w:rsid w:val="00E60099"/>
    <w:rsid w:val="00E64A23"/>
    <w:rsid w:val="00E96723"/>
    <w:rsid w:val="00EB0508"/>
    <w:rsid w:val="00EC11FC"/>
    <w:rsid w:val="00EC4286"/>
    <w:rsid w:val="00ED453F"/>
    <w:rsid w:val="00EE0AD9"/>
    <w:rsid w:val="00F01FB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9EAE-5BD7-2E49-851E-002A1052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7</cp:revision>
  <cp:lastPrinted>2019-01-25T10:49:00Z</cp:lastPrinted>
  <dcterms:created xsi:type="dcterms:W3CDTF">2019-03-29T08:55:00Z</dcterms:created>
  <dcterms:modified xsi:type="dcterms:W3CDTF">2019-06-05T10:25:00Z</dcterms:modified>
</cp:coreProperties>
</file>