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A" w:rsidRDefault="003D602A" w:rsidP="003D602A">
      <w:pPr>
        <w:pStyle w:val="Nagwek1"/>
        <w:spacing w:before="120"/>
        <w:jc w:val="right"/>
        <w:rPr>
          <w:rFonts w:ascii="Calibri" w:hAnsi="Calibri" w:cs="Times New Roman"/>
          <w:b w:val="0"/>
          <w:i/>
          <w:sz w:val="22"/>
          <w:szCs w:val="22"/>
          <w:u w:val="single"/>
        </w:rPr>
      </w:pPr>
      <w:bookmarkStart w:id="0" w:name="_Toc41568814"/>
      <w:bookmarkStart w:id="1" w:name="_Toc457376108"/>
      <w:bookmarkStart w:id="2" w:name="_Toc457376199"/>
      <w:bookmarkStart w:id="3" w:name="_Toc457376369"/>
      <w:bookmarkStart w:id="4" w:name="_Toc457376432"/>
      <w:bookmarkStart w:id="5" w:name="_Toc457376483"/>
      <w:bookmarkStart w:id="6" w:name="_Toc465937466"/>
      <w:bookmarkStart w:id="7" w:name="_Toc478727935"/>
      <w:bookmarkStart w:id="8" w:name="_Toc496170704"/>
      <w:bookmarkStart w:id="9" w:name="_Toc33606546"/>
      <w:r>
        <w:rPr>
          <w:noProof/>
        </w:rPr>
        <w:drawing>
          <wp:inline distT="0" distB="0" distL="0" distR="0" wp14:anchorId="6471ED34" wp14:editId="01A5DC3B">
            <wp:extent cx="5760085" cy="542925"/>
            <wp:effectExtent l="0" t="0" r="0" b="9525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584">
        <w:rPr>
          <w:rFonts w:ascii="Calibri" w:hAnsi="Calibri" w:cs="Times New Roman"/>
          <w:b w:val="0"/>
          <w:i/>
          <w:sz w:val="22"/>
          <w:szCs w:val="22"/>
          <w:u w:val="single"/>
        </w:rPr>
        <w:t xml:space="preserve">Załącznik nr </w:t>
      </w:r>
      <w:bookmarkEnd w:id="0"/>
      <w:r>
        <w:rPr>
          <w:rFonts w:ascii="Calibri" w:hAnsi="Calibri" w:cs="Times New Roman"/>
          <w:b w:val="0"/>
          <w:i/>
          <w:sz w:val="22"/>
          <w:szCs w:val="22"/>
          <w:u w:val="single"/>
        </w:rPr>
        <w:t>2</w:t>
      </w:r>
    </w:p>
    <w:p w:rsidR="003D602A" w:rsidRPr="00142228" w:rsidRDefault="003D602A" w:rsidP="003D60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2228">
        <w:rPr>
          <w:rFonts w:asciiTheme="minorHAnsi" w:hAnsiTheme="minorHAnsi" w:cstheme="minorHAnsi"/>
          <w:b/>
          <w:sz w:val="22"/>
          <w:szCs w:val="22"/>
        </w:rPr>
        <w:t xml:space="preserve">Oświadczenie Wnioskodawcy o spełnieniu przesłanki kwalifikującej </w:t>
      </w:r>
    </w:p>
    <w:p w:rsidR="003D602A" w:rsidRDefault="003D602A" w:rsidP="003D60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2228">
        <w:rPr>
          <w:rFonts w:asciiTheme="minorHAnsi" w:hAnsiTheme="minorHAnsi" w:cstheme="minorHAnsi"/>
          <w:b/>
          <w:sz w:val="22"/>
          <w:szCs w:val="22"/>
        </w:rPr>
        <w:t xml:space="preserve">do otrzymania wsparcia na kapitał obrotowy wg stawki jednostkowej  </w:t>
      </w:r>
    </w:p>
    <w:p w:rsidR="003D602A" w:rsidRDefault="003D602A" w:rsidP="003D60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602A" w:rsidRPr="00142228" w:rsidRDefault="003D602A" w:rsidP="003D60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602A" w:rsidRPr="00142228" w:rsidRDefault="003D602A" w:rsidP="003D602A">
      <w:pPr>
        <w:rPr>
          <w:rFonts w:asciiTheme="minorHAnsi" w:hAnsiTheme="minorHAnsi" w:cstheme="minorHAnsi"/>
          <w:bCs/>
          <w:sz w:val="22"/>
          <w:szCs w:val="22"/>
        </w:rPr>
      </w:pPr>
    </w:p>
    <w:p w:rsidR="003D602A" w:rsidRPr="00142228" w:rsidRDefault="003D602A" w:rsidP="003D602A">
      <w:pPr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bCs/>
          <w:sz w:val="22"/>
          <w:szCs w:val="22"/>
        </w:rPr>
        <w:t xml:space="preserve">Oświadczam, iż </w:t>
      </w:r>
      <w:r w:rsidRPr="0014222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  <w:r w:rsidRPr="00142228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:rsidR="003D602A" w:rsidRPr="00142228" w:rsidRDefault="003D602A" w:rsidP="003D602A">
      <w:pPr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sz w:val="22"/>
          <w:szCs w:val="22"/>
        </w:rPr>
        <w:tab/>
      </w:r>
      <w:r w:rsidRPr="00142228">
        <w:rPr>
          <w:rFonts w:asciiTheme="minorHAnsi" w:hAnsiTheme="minorHAnsi" w:cstheme="minorHAnsi"/>
          <w:sz w:val="22"/>
          <w:szCs w:val="22"/>
        </w:rPr>
        <w:tab/>
      </w:r>
      <w:r w:rsidRPr="00142228">
        <w:rPr>
          <w:rFonts w:asciiTheme="minorHAnsi" w:hAnsiTheme="minorHAnsi" w:cstheme="minorHAnsi"/>
          <w:sz w:val="22"/>
          <w:szCs w:val="22"/>
        </w:rPr>
        <w:tab/>
        <w:t xml:space="preserve">                              (</w:t>
      </w:r>
      <w:r w:rsidRPr="00130EEB">
        <w:rPr>
          <w:rFonts w:asciiTheme="minorHAnsi" w:hAnsiTheme="minorHAnsi" w:cstheme="minorHAnsi"/>
          <w:sz w:val="20"/>
          <w:szCs w:val="20"/>
        </w:rPr>
        <w:t>pełna nazwa wnioskodawcy</w:t>
      </w:r>
      <w:r w:rsidRPr="00142228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D602A" w:rsidRDefault="003D602A" w:rsidP="003D602A">
      <w:pPr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602A" w:rsidRPr="00142228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Zgodnie z załącznikiem I do rozporządzenia Komisji (UE) nr 651/2014 z dnia 17 czerwca 2014 r. </w:t>
      </w:r>
      <w:r w:rsidRPr="00ED31CA">
        <w:rPr>
          <w:rFonts w:asciiTheme="minorHAnsi" w:hAnsiTheme="minorHAnsi" w:cstheme="minorHAnsi"/>
          <w:i/>
          <w:spacing w:val="2"/>
          <w:sz w:val="22"/>
          <w:szCs w:val="22"/>
        </w:rPr>
        <w:t xml:space="preserve">uznającego niektóre rodzaje pomocy za zgodne z rynkiem wewnętrznym w zastosowaniu </w:t>
      </w:r>
      <w:r>
        <w:rPr>
          <w:rFonts w:asciiTheme="minorHAnsi" w:hAnsiTheme="minorHAnsi" w:cstheme="minorHAnsi"/>
          <w:i/>
          <w:spacing w:val="2"/>
          <w:sz w:val="22"/>
          <w:szCs w:val="22"/>
        </w:rPr>
        <w:br/>
      </w:r>
      <w:r w:rsidRPr="00ED31CA">
        <w:rPr>
          <w:rFonts w:asciiTheme="minorHAnsi" w:hAnsiTheme="minorHAnsi" w:cstheme="minorHAnsi"/>
          <w:i/>
          <w:spacing w:val="2"/>
          <w:sz w:val="22"/>
          <w:szCs w:val="22"/>
        </w:rPr>
        <w:t>art. 107 i 108 Traktatu</w:t>
      </w: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 (Dz. Urz. UE L 187 z 26.06.2014) spełnia status:</w:t>
      </w:r>
    </w:p>
    <w:p w:rsidR="003D602A" w:rsidRPr="00142228" w:rsidRDefault="003D602A" w:rsidP="003D602A">
      <w:pPr>
        <w:pStyle w:val="Akapitzlist"/>
        <w:shd w:val="clear" w:color="auto" w:fill="FFFFFF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□ </w:t>
      </w:r>
      <w:proofErr w:type="spellStart"/>
      <w:r w:rsidRPr="00142228">
        <w:rPr>
          <w:rFonts w:asciiTheme="minorHAnsi" w:hAnsiTheme="minorHAnsi" w:cstheme="minorHAnsi"/>
          <w:spacing w:val="2"/>
          <w:sz w:val="22"/>
          <w:szCs w:val="22"/>
        </w:rPr>
        <w:t>mikroprzedsiębiorcy</w:t>
      </w:r>
      <w:proofErr w:type="spellEnd"/>
      <w:r w:rsidRPr="001422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602A" w:rsidRPr="00142228" w:rsidRDefault="003D602A" w:rsidP="003D602A">
      <w:pPr>
        <w:pStyle w:val="Akapitzlist"/>
        <w:shd w:val="clear" w:color="auto" w:fill="FFFFFF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>□ małego przedsiębiorcy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D602A" w:rsidRPr="00142228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>Prowadził działalność gospodarczą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i nie znajdował się w trudnej sytuacji w dniu 31 grudnia  2019 r. </w:t>
      </w:r>
      <w:r w:rsidR="008646E8">
        <w:rPr>
          <w:rFonts w:asciiTheme="minorHAnsi" w:hAnsiTheme="minorHAnsi" w:cstheme="minorHAnsi"/>
          <w:spacing w:val="2"/>
          <w:sz w:val="22"/>
          <w:szCs w:val="22"/>
        </w:rPr>
        <w:br/>
      </w:r>
      <w:r w:rsidRPr="00142228">
        <w:rPr>
          <w:rFonts w:asciiTheme="minorHAnsi" w:hAnsiTheme="minorHAnsi" w:cstheme="minorHAnsi"/>
          <w:spacing w:val="2"/>
          <w:sz w:val="22"/>
          <w:szCs w:val="22"/>
        </w:rPr>
        <w:t>(w rozumieniu art. 2 pkt 18 Rozporządzenia nr 651/ 2014)</w:t>
      </w:r>
      <w:r>
        <w:rPr>
          <w:rFonts w:asciiTheme="minorHAnsi" w:hAnsiTheme="minorHAnsi" w:cstheme="minorHAnsi"/>
          <w:spacing w:val="2"/>
          <w:sz w:val="22"/>
          <w:szCs w:val="22"/>
        </w:rPr>
        <w:t>.</w:t>
      </w: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  </w:t>
      </w:r>
    </w:p>
    <w:p w:rsidR="003D602A" w:rsidRPr="00ED31CA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>W związku wystąpieniem pandemii COVID-19 znalazł się w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D31CA">
        <w:rPr>
          <w:rFonts w:asciiTheme="minorHAnsi" w:hAnsiTheme="minorHAnsi" w:cstheme="minorHAnsi"/>
          <w:spacing w:val="2"/>
          <w:sz w:val="22"/>
          <w:szCs w:val="22"/>
        </w:rPr>
        <w:t>sytuacji nagłego niedoboru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lub nawet </w:t>
      </w:r>
      <w:r w:rsidRPr="00ED31CA">
        <w:rPr>
          <w:rFonts w:asciiTheme="minorHAnsi" w:hAnsiTheme="minorHAnsi" w:cstheme="minorHAnsi"/>
          <w:spacing w:val="2"/>
          <w:sz w:val="22"/>
          <w:szCs w:val="22"/>
        </w:rPr>
        <w:t>braku płynności finansowej.</w:t>
      </w:r>
    </w:p>
    <w:p w:rsidR="003D602A" w:rsidRPr="00142228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142228">
        <w:rPr>
          <w:rFonts w:asciiTheme="minorHAnsi" w:hAnsiTheme="minorHAnsi" w:cstheme="minorHAnsi"/>
          <w:spacing w:val="2"/>
          <w:sz w:val="22"/>
          <w:szCs w:val="22"/>
        </w:rPr>
        <w:t xml:space="preserve">Odnotował spadek obrotów o co najmniej 30% w dowolnym miesiącu po 1 lutego 2020 r. </w:t>
      </w:r>
      <w:r>
        <w:rPr>
          <w:rFonts w:asciiTheme="minorHAnsi" w:hAnsiTheme="minorHAnsi" w:cstheme="minorHAnsi"/>
          <w:spacing w:val="2"/>
          <w:sz w:val="22"/>
          <w:szCs w:val="22"/>
        </w:rPr>
        <w:br/>
      </w:r>
      <w:r w:rsidRPr="00142228">
        <w:rPr>
          <w:rFonts w:asciiTheme="minorHAnsi" w:hAnsiTheme="minorHAnsi" w:cstheme="minorHAnsi"/>
          <w:spacing w:val="2"/>
          <w:sz w:val="22"/>
          <w:szCs w:val="22"/>
        </w:rPr>
        <w:t>w porównaniu do poprzedniego miesiąca lub analogicznego miesiąca ubiegłego roku w związku zakłóceniami w funkcjonowaniu gospodarki na skutek COVID-19</w:t>
      </w:r>
      <w:r>
        <w:rPr>
          <w:rFonts w:asciiTheme="minorHAnsi" w:hAnsiTheme="minorHAnsi" w:cstheme="minorHAnsi"/>
          <w:spacing w:val="2"/>
          <w:sz w:val="22"/>
          <w:szCs w:val="22"/>
        </w:rPr>
        <w:t>.</w:t>
      </w:r>
    </w:p>
    <w:p w:rsidR="003D602A" w:rsidRPr="00ED31CA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5661">
        <w:rPr>
          <w:rFonts w:asciiTheme="minorHAnsi" w:hAnsiTheme="minorHAnsi" w:cstheme="minorHAnsi"/>
          <w:spacing w:val="2"/>
          <w:sz w:val="22"/>
          <w:szCs w:val="22"/>
        </w:rPr>
        <w:t>Na dzień 31 grudnia 2019 r. lub na dzień udzielenia wsparcia przedsiębiorca nie zalegał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/nie będzie zalegał </w:t>
      </w:r>
      <w:r w:rsidRPr="00B65661">
        <w:rPr>
          <w:rFonts w:asciiTheme="minorHAnsi" w:hAnsiTheme="minorHAnsi" w:cstheme="minorHAnsi"/>
          <w:spacing w:val="2"/>
          <w:sz w:val="22"/>
          <w:szCs w:val="22"/>
        </w:rPr>
        <w:t>z płatnościami podatków i składek na ubezpieczenia społeczne</w:t>
      </w:r>
      <w:r w:rsidRPr="00B65661">
        <w:rPr>
          <w:rStyle w:val="Odwoanieprzypisudolnego"/>
          <w:rFonts w:asciiTheme="minorHAnsi" w:hAnsiTheme="minorHAnsi" w:cstheme="minorHAnsi"/>
          <w:spacing w:val="2"/>
          <w:sz w:val="22"/>
          <w:szCs w:val="22"/>
        </w:rPr>
        <w:footnoteReference w:id="1"/>
      </w:r>
      <w:r w:rsidRPr="00B65661">
        <w:rPr>
          <w:rFonts w:asciiTheme="minorHAnsi" w:hAnsiTheme="minorHAnsi" w:cstheme="minorHAnsi"/>
          <w:spacing w:val="2"/>
          <w:sz w:val="22"/>
          <w:szCs w:val="22"/>
        </w:rPr>
        <w:t xml:space="preserve">.       </w:t>
      </w:r>
    </w:p>
    <w:p w:rsidR="003D602A" w:rsidRPr="00ED31CA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5661">
        <w:rPr>
          <w:rFonts w:asciiTheme="minorHAnsi" w:hAnsiTheme="minorHAnsi" w:cstheme="minorHAnsi"/>
          <w:spacing w:val="2"/>
          <w:sz w:val="22"/>
          <w:szCs w:val="22"/>
        </w:rPr>
        <w:t>Nie prowadzi:</w:t>
      </w:r>
    </w:p>
    <w:p w:rsidR="003D602A" w:rsidRPr="00ED31CA" w:rsidRDefault="003D602A" w:rsidP="003D602A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line="276" w:lineRule="auto"/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 xml:space="preserve">działalności w sektorach zastrzeżonych, takich jak: </w:t>
      </w:r>
    </w:p>
    <w:p w:rsidR="003D602A" w:rsidRPr="00B65661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>nielegalna działalność gospodarcza: produkcja, obrót lub inna działalność, która jest nielegalna zgodnie z przepisami ustawowymi lub wykonawczymi kraju, w którym ma miejsce produkcja, obrót lub działalność,</w:t>
      </w:r>
    </w:p>
    <w:p w:rsidR="003D602A" w:rsidRPr="00B65661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>wyroby tytoniowe i destylowane napoje alkoholowe. Produkcja wyrobów tytoniowych, destylowanych napojów alkoholowych i produktów pokrewnych oraz obrót nimi,</w:t>
      </w:r>
    </w:p>
    <w:p w:rsidR="003D602A" w:rsidRPr="00B65661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 xml:space="preserve">produkcja broni i amunicji oraz obrót nimi: finansowanie produkcji wszelkich rodzajów broni </w:t>
      </w:r>
      <w:r w:rsidR="008646E8">
        <w:rPr>
          <w:rFonts w:asciiTheme="minorHAnsi" w:hAnsiTheme="minorHAnsi" w:cstheme="minorHAnsi"/>
          <w:sz w:val="22"/>
          <w:szCs w:val="22"/>
        </w:rPr>
        <w:br/>
      </w:r>
      <w:r w:rsidRPr="00ED31CA">
        <w:rPr>
          <w:rFonts w:asciiTheme="minorHAnsi" w:hAnsiTheme="minorHAnsi" w:cstheme="minorHAnsi"/>
          <w:sz w:val="22"/>
          <w:szCs w:val="22"/>
        </w:rPr>
        <w:t xml:space="preserve">i amunicji oraz obrót nimi. Zastrzeżenie to nie dotyczy tych rodzajów działalności, </w:t>
      </w:r>
      <w:r>
        <w:rPr>
          <w:rFonts w:asciiTheme="minorHAnsi" w:hAnsiTheme="minorHAnsi" w:cstheme="minorHAnsi"/>
          <w:sz w:val="22"/>
          <w:szCs w:val="22"/>
        </w:rPr>
        <w:br/>
      </w:r>
      <w:r w:rsidRPr="00ED31CA">
        <w:rPr>
          <w:rFonts w:asciiTheme="minorHAnsi" w:hAnsiTheme="minorHAnsi" w:cstheme="minorHAnsi"/>
          <w:sz w:val="22"/>
          <w:szCs w:val="22"/>
        </w:rPr>
        <w:t xml:space="preserve">o ile stanowią one część lub element dodatkowy wyraźnie określonych polityk Unii Europejskiej, </w:t>
      </w:r>
    </w:p>
    <w:p w:rsidR="003D602A" w:rsidRPr="00B65661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>kasyna. Kasyna i równoważne przedsiębiorstwa,</w:t>
      </w:r>
    </w:p>
    <w:p w:rsidR="003D602A" w:rsidRPr="00B65661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 xml:space="preserve">zastrzeżenia w sektorze technologii informacyjnej. Badania naukowe, rozwój </w:t>
      </w:r>
      <w:r>
        <w:rPr>
          <w:rFonts w:asciiTheme="minorHAnsi" w:hAnsiTheme="minorHAnsi" w:cstheme="minorHAnsi"/>
          <w:sz w:val="22"/>
          <w:szCs w:val="22"/>
        </w:rPr>
        <w:br/>
      </w:r>
      <w:r w:rsidRPr="00ED31CA">
        <w:rPr>
          <w:rFonts w:asciiTheme="minorHAnsi" w:hAnsiTheme="minorHAnsi" w:cstheme="minorHAnsi"/>
          <w:sz w:val="22"/>
          <w:szCs w:val="22"/>
        </w:rPr>
        <w:t xml:space="preserve">lub zastosowania techniczne odnoszące się do programów lub rozwiązań w zakresie danych elektronicznych, które (i) mają konkretnie na celu: a) wsparcie działalności ujętej </w:t>
      </w:r>
      <w:r>
        <w:rPr>
          <w:rFonts w:asciiTheme="minorHAnsi" w:hAnsiTheme="minorHAnsi" w:cstheme="minorHAnsi"/>
          <w:sz w:val="22"/>
          <w:szCs w:val="22"/>
        </w:rPr>
        <w:br/>
      </w:r>
      <w:r w:rsidRPr="00ED31CA">
        <w:rPr>
          <w:rFonts w:asciiTheme="minorHAnsi" w:hAnsiTheme="minorHAnsi" w:cstheme="minorHAnsi"/>
          <w:sz w:val="22"/>
          <w:szCs w:val="22"/>
        </w:rPr>
        <w:t xml:space="preserve">w sektorach zastrzeżonych, o których mowa w lit. a–d powyżej; b) hazard internetowy </w:t>
      </w:r>
      <w:r>
        <w:rPr>
          <w:rFonts w:asciiTheme="minorHAnsi" w:hAnsiTheme="minorHAnsi" w:cstheme="minorHAnsi"/>
          <w:sz w:val="22"/>
          <w:szCs w:val="22"/>
        </w:rPr>
        <w:br/>
      </w:r>
      <w:r w:rsidRPr="00ED31CA">
        <w:rPr>
          <w:rFonts w:asciiTheme="minorHAnsi" w:hAnsiTheme="minorHAnsi" w:cstheme="minorHAnsi"/>
          <w:sz w:val="22"/>
          <w:szCs w:val="22"/>
        </w:rPr>
        <w:t>i kasyna internetowe; lub c) pornografię; lub które (ii) mają na celu umożliwienie nielegalnego: a) dostępu do sieci danych elektronicznych; lub b) pobierania danych elektronicznych</w:t>
      </w:r>
      <w:r w:rsidRPr="00B65661">
        <w:rPr>
          <w:rFonts w:asciiTheme="minorHAnsi" w:hAnsiTheme="minorHAnsi" w:cstheme="minorHAnsi"/>
          <w:sz w:val="22"/>
          <w:szCs w:val="22"/>
        </w:rPr>
        <w:t>,</w:t>
      </w:r>
    </w:p>
    <w:p w:rsidR="003D602A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1CA">
        <w:rPr>
          <w:rFonts w:asciiTheme="minorHAnsi" w:hAnsiTheme="minorHAnsi" w:cstheme="minorHAnsi"/>
          <w:sz w:val="22"/>
          <w:szCs w:val="22"/>
        </w:rPr>
        <w:t>zastrzeżenia w sektorze nauk o życiu. Przy wspieraniu finansowania badań naukowych, rozwoju lub zastosowań technicznych odnoszących się do: (i) klonowania ludzi do celów badawczych lub terapeutycznych; lub (ii) org</w:t>
      </w:r>
      <w:r>
        <w:rPr>
          <w:rFonts w:asciiTheme="minorHAnsi" w:hAnsiTheme="minorHAnsi" w:cstheme="minorHAnsi"/>
          <w:sz w:val="22"/>
          <w:szCs w:val="22"/>
        </w:rPr>
        <w:t>anizmów zmodyfikowanych („GMO”),</w:t>
      </w:r>
      <w:r w:rsidRPr="00ED31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602A" w:rsidRPr="00ED31CA" w:rsidRDefault="003D602A" w:rsidP="003D602A">
      <w:pPr>
        <w:pStyle w:val="Tekstkomentarza"/>
        <w:numPr>
          <w:ilvl w:val="0"/>
          <w:numId w:val="2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GoBack"/>
      <w:bookmarkEnd w:id="10"/>
      <w:r w:rsidRPr="00ED31CA">
        <w:rPr>
          <w:rFonts w:asciiTheme="minorHAnsi" w:hAnsiTheme="minorHAnsi" w:cstheme="minorHAnsi"/>
          <w:sz w:val="22"/>
          <w:szCs w:val="22"/>
        </w:rPr>
        <w:lastRenderedPageBreak/>
        <w:t>inne jeżeli przemawia za tym konieczność ochrony obywateli przed negatywnymi skutkami tej działalności w postaci negatywnego wpływu na ich zdrowie lub bezpieczeństwo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3D602A" w:rsidRPr="00ED31CA" w:rsidRDefault="003D602A" w:rsidP="003D602A">
      <w:pPr>
        <w:pStyle w:val="Akapitzlist"/>
        <w:widowControl/>
        <w:numPr>
          <w:ilvl w:val="1"/>
          <w:numId w:val="1"/>
        </w:numPr>
        <w:shd w:val="clear" w:color="auto" w:fill="FFFFFF"/>
        <w:suppressAutoHyphens/>
        <w:autoSpaceDE/>
        <w:adjustRightInd/>
        <w:spacing w:line="276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224C4">
        <w:rPr>
          <w:rFonts w:asciiTheme="minorHAnsi" w:hAnsiTheme="minorHAnsi" w:cstheme="minorHAnsi"/>
          <w:sz w:val="22"/>
          <w:szCs w:val="22"/>
        </w:rPr>
        <w:t>działalności instytucji finansowych, bankowej oraz sektora kas spółdzielczych.</w:t>
      </w:r>
    </w:p>
    <w:p w:rsidR="003D602A" w:rsidRPr="00ED31CA" w:rsidRDefault="003D602A" w:rsidP="003D602A">
      <w:pPr>
        <w:pStyle w:val="Akapitzlist"/>
        <w:widowControl/>
        <w:numPr>
          <w:ilvl w:val="0"/>
          <w:numId w:val="1"/>
        </w:numPr>
        <w:shd w:val="clear" w:color="auto" w:fill="FFFFFF"/>
        <w:suppressAutoHyphens/>
        <w:autoSpaceDE/>
        <w:adjustRightInd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>
        <w:rPr>
          <w:rFonts w:asciiTheme="minorHAnsi" w:hAnsiTheme="minorHAnsi" w:cstheme="minorHAnsi"/>
          <w:spacing w:val="2"/>
          <w:sz w:val="22"/>
          <w:szCs w:val="22"/>
        </w:rPr>
        <w:t xml:space="preserve">Nie ubiega się o finansowanie ze środków publicznych w zakresie </w:t>
      </w:r>
      <w:r w:rsidRPr="00ED31CA">
        <w:rPr>
          <w:rFonts w:asciiTheme="minorHAnsi" w:hAnsiTheme="minorHAnsi" w:cstheme="minorHAnsi"/>
          <w:sz w:val="22"/>
          <w:szCs w:val="22"/>
        </w:rPr>
        <w:t>o</w:t>
      </w:r>
      <w:r w:rsidRPr="00ED31CA">
        <w:rPr>
          <w:rFonts w:asciiTheme="minorHAnsi" w:hAnsiTheme="minorHAnsi" w:cstheme="minorHAnsi"/>
          <w:spacing w:val="2"/>
          <w:sz w:val="22"/>
          <w:szCs w:val="22"/>
        </w:rPr>
        <w:t>trzymania wsparcia na kapitał obrotowy wg stawki jednostkowej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te same koszty.</w:t>
      </w:r>
    </w:p>
    <w:p w:rsidR="003D602A" w:rsidRPr="00142228" w:rsidRDefault="003D602A" w:rsidP="003D602A">
      <w:pPr>
        <w:rPr>
          <w:rFonts w:asciiTheme="minorHAnsi" w:hAnsiTheme="minorHAnsi" w:cstheme="minorHAnsi"/>
          <w:spacing w:val="2"/>
          <w:sz w:val="22"/>
          <w:szCs w:val="22"/>
        </w:rPr>
      </w:pPr>
    </w:p>
    <w:p w:rsidR="003D602A" w:rsidRPr="00142228" w:rsidRDefault="003D602A" w:rsidP="003D602A">
      <w:pPr>
        <w:jc w:val="both"/>
        <w:rPr>
          <w:rFonts w:asciiTheme="minorHAnsi" w:hAnsiTheme="minorHAnsi" w:cstheme="minorHAnsi"/>
          <w:i/>
          <w:spacing w:val="2"/>
          <w:sz w:val="20"/>
          <w:szCs w:val="20"/>
        </w:rPr>
      </w:pPr>
      <w:r w:rsidRPr="00142228">
        <w:rPr>
          <w:rFonts w:asciiTheme="minorHAnsi" w:hAnsiTheme="minorHAnsi" w:cstheme="minorHAnsi"/>
          <w:i/>
          <w:spacing w:val="2"/>
          <w:sz w:val="20"/>
          <w:szCs w:val="20"/>
        </w:rPr>
        <w:t xml:space="preserve">Oświadczam, że informacje i oświadczenia podane przeze mnie są zgodne z prawdą oraz, że jestem świadomy (świadoma) odpowiedzialności karnej wynikającej z art. 233 § 1 ustawy z dnia 6 czerwca 1997 r. </w:t>
      </w:r>
      <w:r>
        <w:rPr>
          <w:rFonts w:asciiTheme="minorHAnsi" w:hAnsiTheme="minorHAnsi" w:cstheme="minorHAnsi"/>
          <w:i/>
          <w:spacing w:val="2"/>
          <w:sz w:val="20"/>
          <w:szCs w:val="20"/>
        </w:rPr>
        <w:br/>
      </w:r>
      <w:r w:rsidRPr="00142228">
        <w:rPr>
          <w:rFonts w:asciiTheme="minorHAnsi" w:hAnsiTheme="minorHAnsi" w:cstheme="minorHAnsi"/>
          <w:i/>
          <w:spacing w:val="2"/>
          <w:sz w:val="20"/>
          <w:szCs w:val="20"/>
        </w:rPr>
        <w:t>– Kodeks karny (Dz. U. z 2019 r. poz. 1950</w:t>
      </w:r>
      <w:r w:rsidR="008646E8">
        <w:rPr>
          <w:rFonts w:asciiTheme="minorHAnsi" w:hAnsiTheme="minorHAnsi" w:cstheme="minorHAnsi"/>
          <w:i/>
          <w:spacing w:val="2"/>
          <w:sz w:val="20"/>
          <w:szCs w:val="20"/>
        </w:rPr>
        <w:t xml:space="preserve"> r</w:t>
      </w:r>
      <w:r w:rsidR="00544CAD">
        <w:rPr>
          <w:rFonts w:asciiTheme="minorHAnsi" w:hAnsiTheme="minorHAnsi" w:cstheme="minorHAnsi"/>
          <w:i/>
          <w:spacing w:val="2"/>
          <w:sz w:val="20"/>
          <w:szCs w:val="20"/>
        </w:rPr>
        <w:t>.</w:t>
      </w:r>
      <w:r w:rsidRPr="00142228">
        <w:rPr>
          <w:rFonts w:asciiTheme="minorHAnsi" w:hAnsiTheme="minorHAnsi" w:cstheme="minorHAnsi"/>
          <w:i/>
          <w:spacing w:val="2"/>
          <w:sz w:val="20"/>
          <w:szCs w:val="20"/>
        </w:rPr>
        <w:t>, z</w:t>
      </w:r>
      <w:r>
        <w:rPr>
          <w:rFonts w:asciiTheme="minorHAnsi" w:hAnsiTheme="minorHAnsi" w:cstheme="minorHAnsi"/>
          <w:i/>
          <w:spacing w:val="2"/>
          <w:sz w:val="20"/>
          <w:szCs w:val="20"/>
        </w:rPr>
        <w:t>e</w:t>
      </w:r>
      <w:r w:rsidRPr="00142228">
        <w:rPr>
          <w:rFonts w:asciiTheme="minorHAnsi" w:hAnsiTheme="minorHAnsi" w:cstheme="minorHAnsi"/>
          <w:i/>
          <w:spacing w:val="2"/>
          <w:sz w:val="20"/>
          <w:szCs w:val="20"/>
        </w:rPr>
        <w:t xml:space="preserve"> zm.) za złożenie fałszywego oświadczenia lub zatajenie prawdy.</w:t>
      </w:r>
    </w:p>
    <w:p w:rsidR="003D602A" w:rsidRDefault="003D602A" w:rsidP="003D602A">
      <w:pPr>
        <w:rPr>
          <w:rFonts w:asciiTheme="minorHAnsi" w:hAnsiTheme="minorHAnsi" w:cstheme="minorHAnsi"/>
          <w:i/>
          <w:spacing w:val="2"/>
          <w:sz w:val="22"/>
          <w:szCs w:val="22"/>
        </w:rPr>
      </w:pPr>
    </w:p>
    <w:p w:rsidR="003D602A" w:rsidRDefault="003D602A" w:rsidP="003D602A">
      <w:pPr>
        <w:rPr>
          <w:rFonts w:asciiTheme="minorHAnsi" w:hAnsiTheme="minorHAnsi" w:cstheme="minorHAnsi"/>
          <w:i/>
          <w:spacing w:val="2"/>
          <w:sz w:val="22"/>
          <w:szCs w:val="22"/>
        </w:rPr>
      </w:pPr>
    </w:p>
    <w:p w:rsidR="003D602A" w:rsidRPr="00142228" w:rsidRDefault="003D602A" w:rsidP="003D602A">
      <w:pPr>
        <w:rPr>
          <w:rFonts w:asciiTheme="minorHAnsi" w:hAnsiTheme="minorHAnsi" w:cstheme="minorHAnsi"/>
          <w:i/>
          <w:spacing w:val="2"/>
          <w:sz w:val="22"/>
          <w:szCs w:val="22"/>
        </w:rPr>
      </w:pPr>
    </w:p>
    <w:p w:rsidR="003D602A" w:rsidRPr="00142228" w:rsidRDefault="003D602A" w:rsidP="003D602A">
      <w:pPr>
        <w:jc w:val="right"/>
        <w:rPr>
          <w:rFonts w:asciiTheme="minorHAnsi" w:hAnsiTheme="minorHAnsi" w:cstheme="minorHAnsi"/>
          <w:iCs/>
          <w:spacing w:val="2"/>
          <w:sz w:val="20"/>
          <w:szCs w:val="20"/>
        </w:rPr>
      </w:pP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 xml:space="preserve">  </w:t>
      </w:r>
      <w:r>
        <w:rPr>
          <w:rFonts w:asciiTheme="minorHAnsi" w:hAnsiTheme="minorHAnsi" w:cstheme="minorHAnsi"/>
          <w:iCs/>
          <w:spacing w:val="2"/>
          <w:sz w:val="20"/>
          <w:szCs w:val="20"/>
        </w:rPr>
        <w:t>……….....................</w:t>
      </w: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>…………………………………..………………………</w:t>
      </w:r>
    </w:p>
    <w:p w:rsidR="003D602A" w:rsidRPr="00142228" w:rsidRDefault="003D602A" w:rsidP="003D602A">
      <w:pPr>
        <w:jc w:val="right"/>
        <w:rPr>
          <w:rFonts w:ascii="Calibri" w:hAnsi="Calibri"/>
          <w:spacing w:val="-6"/>
          <w:sz w:val="16"/>
          <w:szCs w:val="16"/>
        </w:rPr>
      </w:pP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ab/>
      </w: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ab/>
      </w: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ab/>
      </w: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ab/>
      </w:r>
      <w:r w:rsidRPr="00142228">
        <w:rPr>
          <w:rFonts w:asciiTheme="minorHAnsi" w:hAnsiTheme="minorHAnsi" w:cstheme="minorHAnsi"/>
          <w:iCs/>
          <w:spacing w:val="2"/>
          <w:sz w:val="20"/>
          <w:szCs w:val="20"/>
        </w:rPr>
        <w:tab/>
      </w:r>
      <w:r w:rsidRPr="00142228">
        <w:rPr>
          <w:rFonts w:asciiTheme="minorHAnsi" w:hAnsiTheme="minorHAnsi" w:cstheme="minorHAnsi"/>
          <w:spacing w:val="2"/>
          <w:sz w:val="20"/>
          <w:szCs w:val="20"/>
        </w:rPr>
        <w:t xml:space="preserve"> (data, podpis osoby upoważnionej do reprezentowania) </w:t>
      </w:r>
      <w:r w:rsidRPr="00142228">
        <w:rPr>
          <w:rFonts w:asciiTheme="minorHAnsi" w:hAnsiTheme="minorHAnsi" w:cstheme="minorHAnsi"/>
          <w:spacing w:val="2"/>
          <w:sz w:val="16"/>
          <w:szCs w:val="16"/>
        </w:rPr>
        <w:t xml:space="preserve">   </w:t>
      </w:r>
      <w:r w:rsidRPr="00142228">
        <w:rPr>
          <w:rFonts w:cs="Calibri"/>
          <w:spacing w:val="2"/>
          <w:sz w:val="16"/>
          <w:szCs w:val="16"/>
        </w:rPr>
        <w:t xml:space="preserve">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D602A" w:rsidRPr="00571584" w:rsidRDefault="003D602A" w:rsidP="003D602A"/>
    <w:p w:rsidR="003D602A" w:rsidRDefault="003D602A" w:rsidP="003D602A"/>
    <w:p w:rsidR="006C5A30" w:rsidRDefault="006C5A30"/>
    <w:sectPr w:rsidR="006C5A30" w:rsidSect="00544CAD">
      <w:type w:val="continuous"/>
      <w:pgSz w:w="11906" w:h="16838"/>
      <w:pgMar w:top="142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E4" w:rsidRDefault="00860BE4" w:rsidP="003D602A">
      <w:r>
        <w:separator/>
      </w:r>
    </w:p>
  </w:endnote>
  <w:endnote w:type="continuationSeparator" w:id="0">
    <w:p w:rsidR="00860BE4" w:rsidRDefault="00860BE4" w:rsidP="003D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E4" w:rsidRDefault="00860BE4" w:rsidP="003D602A">
      <w:r>
        <w:separator/>
      </w:r>
    </w:p>
  </w:footnote>
  <w:footnote w:type="continuationSeparator" w:id="0">
    <w:p w:rsidR="00860BE4" w:rsidRDefault="00860BE4" w:rsidP="003D602A">
      <w:r>
        <w:continuationSeparator/>
      </w:r>
    </w:p>
  </w:footnote>
  <w:footnote w:id="1">
    <w:p w:rsidR="003D602A" w:rsidRPr="00142228" w:rsidRDefault="003D602A" w:rsidP="003D602A">
      <w:pPr>
        <w:pStyle w:val="Akapitzlist"/>
        <w:shd w:val="clear" w:color="auto" w:fill="FFFFFF"/>
        <w:ind w:left="0"/>
        <w:jc w:val="both"/>
        <w:rPr>
          <w:rFonts w:asciiTheme="minorHAnsi" w:hAnsiTheme="minorHAnsi" w:cstheme="minorHAnsi"/>
        </w:rPr>
      </w:pPr>
      <w:r w:rsidRPr="00142228">
        <w:rPr>
          <w:rStyle w:val="Odwoanieprzypisudolnego"/>
          <w:rFonts w:asciiTheme="minorHAnsi" w:hAnsiTheme="minorHAnsi" w:cstheme="minorHAnsi"/>
        </w:rPr>
        <w:footnoteRef/>
      </w:r>
      <w:r w:rsidRPr="00142228">
        <w:rPr>
          <w:rFonts w:asciiTheme="minorHAnsi" w:hAnsiTheme="minorHAnsi" w:cstheme="minorHAnsi"/>
          <w:sz w:val="16"/>
          <w:szCs w:val="16"/>
        </w:rPr>
        <w:t xml:space="preserve">  </w:t>
      </w:r>
      <w:r w:rsidRPr="00142228">
        <w:rPr>
          <w:rFonts w:asciiTheme="minorHAnsi" w:hAnsiTheme="minorHAnsi" w:cstheme="minorHAnsi"/>
          <w:spacing w:val="2"/>
          <w:sz w:val="16"/>
          <w:szCs w:val="16"/>
        </w:rPr>
        <w:t xml:space="preserve">Przy czym: rozłożenie płatności na raty lub jej odroczenie, lub zaleganie z płatnościami podatków i składek na ubezpieczenia społeczne nieprzekraczające trzykrotności wartości opłaty pobieranej przez operatora wyznaczonego w rozumieniu ustawy z dnia 23 listopada 2012 r. - </w:t>
      </w:r>
      <w:r w:rsidRPr="00ED31CA">
        <w:rPr>
          <w:rFonts w:asciiTheme="minorHAnsi" w:hAnsiTheme="minorHAnsi" w:cstheme="minorHAnsi"/>
          <w:i/>
          <w:spacing w:val="2"/>
          <w:sz w:val="16"/>
          <w:szCs w:val="16"/>
        </w:rPr>
        <w:t>Prawo pocztowe</w:t>
      </w:r>
      <w:r w:rsidRPr="00142228">
        <w:rPr>
          <w:rFonts w:asciiTheme="minorHAnsi" w:hAnsiTheme="minorHAnsi" w:cstheme="minorHAnsi"/>
          <w:spacing w:val="2"/>
          <w:sz w:val="16"/>
          <w:szCs w:val="16"/>
        </w:rPr>
        <w:t xml:space="preserve"> za traktowanie przesyłki listowej jako przesyłki poleconej, nie jest uznawane za zaległość.</w:t>
      </w:r>
    </w:p>
    <w:p w:rsidR="003D602A" w:rsidRDefault="003D602A" w:rsidP="003D602A">
      <w:pPr>
        <w:pStyle w:val="Tekstprzypisudolnego"/>
        <w:rPr>
          <w:sz w:val="16"/>
          <w:szCs w:val="16"/>
        </w:rPr>
      </w:pPr>
      <w:r>
        <w:rPr>
          <w:noProof/>
        </w:rPr>
        <w:drawing>
          <wp:inline distT="0" distB="0" distL="0" distR="0" wp14:anchorId="70EC6657" wp14:editId="381F1DE1">
            <wp:extent cx="5760085" cy="159385"/>
            <wp:effectExtent l="0" t="0" r="0" b="0"/>
            <wp:docPr id="3" name="Obraz 3" descr="listownik-mono-Pomorskie-FE-UMWP-UE-EFSI-RPO2014-2020-2015-st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az 56" descr="listownik-mono-Pomorskie-FE-UMWP-UE-EFSI-RPO2014-2020-2015-stop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AC6"/>
    <w:multiLevelType w:val="hybridMultilevel"/>
    <w:tmpl w:val="B1E297D2"/>
    <w:lvl w:ilvl="0" w:tplc="041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" w15:restartNumberingAfterBreak="0">
    <w:nsid w:val="7A683E95"/>
    <w:multiLevelType w:val="multilevel"/>
    <w:tmpl w:val="378416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A"/>
    <w:rsid w:val="003D602A"/>
    <w:rsid w:val="00544CAD"/>
    <w:rsid w:val="006C5A30"/>
    <w:rsid w:val="00860BE4"/>
    <w:rsid w:val="008646E8"/>
    <w:rsid w:val="00CA6B89"/>
    <w:rsid w:val="00F9063C"/>
    <w:rsid w:val="00FC6B67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30E8"/>
  <w15:chartTrackingRefBased/>
  <w15:docId w15:val="{795C84CE-2203-413C-B475-982E782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602A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02A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3D602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D6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D602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3D60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kres"/>
    <w:basedOn w:val="Normalny"/>
    <w:link w:val="AkapitzlistZnak"/>
    <w:uiPriority w:val="34"/>
    <w:qFormat/>
    <w:rsid w:val="003D602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Wykres Znak"/>
    <w:link w:val="Akapitzlist"/>
    <w:uiPriority w:val="34"/>
    <w:locked/>
    <w:rsid w:val="003D602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4</cp:revision>
  <dcterms:created xsi:type="dcterms:W3CDTF">2020-06-04T12:08:00Z</dcterms:created>
  <dcterms:modified xsi:type="dcterms:W3CDTF">2020-06-04T12:26:00Z</dcterms:modified>
</cp:coreProperties>
</file>